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22.jpeg" ContentType="image/jpe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para o trabalho assalariado.  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No curto prazo, o tráfico interno e o contrabando </w:t>
      </w:r>
      <w:r>
        <w:rPr>
          <w:b w:val="false"/>
          <w:i w:val="false"/>
          <w:caps w:val="false"/>
          <w:smallCaps w:val="false"/>
          <w:strike w:val="false"/>
          <w:dstrike w:val="false"/>
          <w:color w:val="000000"/>
          <w:position w:val="0"/>
          <w:sz w:val="24"/>
          <w:sz w:val="24"/>
          <w:szCs w:val="24"/>
          <w:highlight w:val="white"/>
          <w:u w:val="none"/>
          <w:effect w:val="none"/>
          <w:vertAlign w:val="baseline"/>
        </w:rPr>
        <w:t>interno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proporcionou um dinamismo econômico no mercado de escravos mesmo após o esfacelamento do tráfico </w:t>
      </w:r>
      <w:r>
        <w:rPr>
          <w:b w:val="false"/>
          <w:i w:val="false"/>
          <w:caps w:val="false"/>
          <w:smallCaps w:val="false"/>
          <w:strike w:val="false"/>
          <w:dstrike w:val="false"/>
          <w:color w:val="000000"/>
          <w:position w:val="0"/>
          <w:sz w:val="24"/>
          <w:sz w:val="24"/>
          <w:szCs w:val="24"/>
          <w:highlight w:val="white"/>
          <w:u w:val="none"/>
          <w:effect w:val="none"/>
          <w:vertAlign w:val="baseline"/>
        </w:rPr>
        <w:t>internacional</w:t>
      </w:r>
      <w:r>
        <w:rPr>
          <w:b w:val="false"/>
          <w:i w:val="false"/>
          <w:caps w:val="false"/>
          <w:smallCaps w:val="false"/>
          <w:strike w:val="false"/>
          <w:dstrike w:val="false"/>
          <w:color w:val="000000"/>
          <w:position w:val="0"/>
          <w:sz w:val="24"/>
          <w:sz w:val="24"/>
          <w:szCs w:val="24"/>
          <w:highlight w:val="white"/>
          <w:u w:val="none"/>
          <w:effect w:val="none"/>
          <w:vertAlign w:val="baseline"/>
        </w:rPr>
        <w:t>.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w:t>
      </w:r>
      <w:r>
        <w:rPr>
          <w:b w:val="false"/>
          <w:i w:val="false"/>
          <w:caps w:val="false"/>
          <w:smallCaps w:val="false"/>
          <w:strike w:val="false"/>
          <w:dstrike w:val="false"/>
          <w:color w:val="000000"/>
          <w:position w:val="0"/>
          <w:sz w:val="24"/>
          <w:sz w:val="24"/>
          <w:szCs w:val="24"/>
          <w:highlight w:val="white"/>
          <w:u w:val="none"/>
          <w:effect w:val="none"/>
          <w:vertAlign w:val="baseline"/>
        </w:rPr>
        <w:t>na casa dos 121 mil imigrantes</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a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cabe ressaltar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participação do Brasil na produção mundial de café foi estável ao longo do século XIX,  oscilando próximos dos 50%, com exceção do último decênio do século, fechando o ano de 1900 com os incríveis 76.35% de participação na produção mundial (ver gráfico 4).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Ou seja, o</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scilando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durante o 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íodo de 1850 a 1900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as quais podem derivar de outros fatores como sazonalidade, pois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encontra-se um padr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com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pequenas reduções em outros períodos.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w:t>
      </w:r>
      <w:r>
        <w:rPr>
          <w:b w:val="false"/>
          <w:i w:val="false"/>
          <w:caps w:val="false"/>
          <w:smallCaps w:val="false"/>
          <w:strike w:val="false"/>
          <w:dstrike w:val="false"/>
          <w:color w:val="000000"/>
          <w:sz w:val="24"/>
          <w:szCs w:val="24"/>
          <w:highlight w:val="white"/>
          <w:u w:val="none"/>
          <w:effect w:val="none"/>
        </w:rPr>
        <w:t>diferente</w:t>
      </w:r>
      <w:r>
        <w:rPr>
          <w:b w:val="false"/>
          <w:i w:val="false"/>
          <w:caps w:val="false"/>
          <w:smallCaps w:val="false"/>
          <w:strike w:val="false"/>
          <w:dstrike w:val="false"/>
          <w:color w:val="000000"/>
          <w:sz w:val="24"/>
          <w:szCs w:val="24"/>
          <w:highlight w:val="white"/>
          <w:u w:val="none"/>
          <w:effect w:val="none"/>
        </w:rPr>
        <w:t xml:space="preserv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 xml:space="preserve">Correlação de Pearson e Função de Autocorrelação </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 detecção de quebras estruturais dita em grande medida os rumos da modelagem e da inferência como os clássicos testes de raiz unitária e cointegração. Aliás, como bem lembra Costa (2016, p.55),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 xml:space="preserve">Formalmente, um lento decaimento da função de autocorrelação (FAC) pode representar a presença de quebras estruturais, não obstante, é necessário certo cuidado em casos de processo de memória longa.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é uma padronização da covariância. Assim, retornando a relação de associação linear que varia de 1 a -1, isto é, a relação direcional positiva ou negativa entre duas variáveis, por exemplo,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convencional: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direcional)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color w:val="auto"/>
          <w:kern w:val="0"/>
          <w:sz w:val="24"/>
          <w:szCs w:val="24"/>
          <w:lang w:val="pt-BR" w:eastAsia="pt-BR" w:bidi="ar-SA"/>
        </w:rPr>
        <w:t xml:space="preserve">consigo mesmo em defasagem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50. Temos três modelos nesse cenário com o teste de Chow: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trabalhos são de diversos banco de dados públicos, isto é, abertos. Os dados referente as exportações de café estão disponíveis no banco de dados do Instituto de Pesquisa Econômica Aplicada (IPEA)</w:t>
      </w:r>
      <w:r>
        <w:rPr>
          <w:rStyle w:val="Ncoradanotaderodap"/>
          <w:rFonts w:cs="Times New Roman"/>
          <w:b w:val="false"/>
          <w:bCs w:val="false"/>
          <w:sz w:val="24"/>
        </w:rPr>
        <w:footnoteReference w:id="23"/>
      </w:r>
      <w:r>
        <w:rPr>
          <w:rFonts w:cs="Times New Roman"/>
          <w:b w:val="false"/>
          <w:bCs w:val="false"/>
          <w:sz w:val="24"/>
        </w:rPr>
        <w:t>; os dados referente ao número anual de escravos importados está disponível na Voyages: The Trans-Atlantic Slave Trade Database</w:t>
      </w:r>
      <w:r>
        <w:rPr>
          <w:rStyle w:val="Ncoradanotaderodap"/>
          <w:rFonts w:cs="Times New Roman"/>
          <w:b w:val="false"/>
          <w:bCs w:val="false"/>
          <w:color w:val="000000"/>
          <w:sz w:val="24"/>
        </w:rPr>
        <w:footnoteReference w:id="24"/>
      </w:r>
      <w:r>
        <w:rPr>
          <w:rFonts w:cs="Times New Roman"/>
          <w:b w:val="false"/>
          <w:bCs w:val="false"/>
          <w:color w:val="000000"/>
          <w:sz w:val="24"/>
        </w:rPr>
        <w:t xml:space="preserve">.E, sobre a demografia brasileira, no </w:t>
      </w:r>
      <w:r>
        <w:rPr>
          <w:rFonts w:cs="Times New Roman"/>
          <w:b w:val="false"/>
          <w:bCs w:val="false"/>
          <w:i w:val="false"/>
          <w:caps w:val="false"/>
          <w:smallCaps w:val="false"/>
          <w:strike w:val="false"/>
          <w:dstrike w:val="false"/>
          <w:color w:val="000000"/>
          <w:sz w:val="24"/>
          <w:szCs w:val="24"/>
          <w:highlight w:val="white"/>
          <w:u w:val="none"/>
          <w:effect w:val="none"/>
        </w:rPr>
        <w:t>recenseamento nacional de 1872.</w:t>
      </w:r>
      <w:r>
        <w:rPr>
          <w:rFonts w:cs="Times New Roman"/>
          <w:b w:val="false"/>
          <w:bCs w:val="false"/>
          <w:color w:val="000000"/>
          <w:sz w:val="24"/>
        </w:rPr>
        <w:t xml:space="preserve"> Para as estimativas de </w:t>
      </w:r>
      <w:r>
        <w:rPr>
          <w:rFonts w:eastAsia="Times New Roman" w:cs="Times New Roman"/>
          <w:b w:val="false"/>
          <w:bCs w:val="false"/>
          <w:color w:val="000000"/>
          <w:kern w:val="0"/>
          <w:sz w:val="24"/>
          <w:szCs w:val="24"/>
          <w:lang w:val="pt-BR" w:eastAsia="pt-BR" w:bidi="ar-SA"/>
        </w:rPr>
        <w:t>produto interno,</w:t>
      </w:r>
      <w:r>
        <w:rPr>
          <w:rFonts w:cs="Times New Roman"/>
          <w:b w:val="false"/>
          <w:bCs w:val="false"/>
          <w:color w:val="000000"/>
          <w:sz w:val="24"/>
        </w:rPr>
        <w:t xml:space="preserve"> utiliza-se dos dados do </w:t>
      </w:r>
      <w:r>
        <w:rPr>
          <w:rFonts w:cs="Times New Roman"/>
          <w:b w:val="false"/>
          <w:bCs w:val="false"/>
          <w:i w:val="false"/>
          <w:caps w:val="false"/>
          <w:smallCaps w:val="false"/>
          <w:strike w:val="false"/>
          <w:dstrike w:val="false"/>
          <w:color w:val="000000"/>
          <w:sz w:val="24"/>
          <w:szCs w:val="24"/>
          <w:highlight w:val="white"/>
          <w:u w:val="none"/>
          <w:effect w:val="none"/>
        </w:rPr>
        <w:t>Maddison Project Database de 2010, 2013 e 2018</w:t>
      </w:r>
      <w:r>
        <w:rPr>
          <w:rStyle w:val="Ncoradanotaderodap"/>
          <w:rFonts w:cs="Times New Roman"/>
          <w:b w:val="false"/>
          <w:bCs w:val="false"/>
          <w:i w:val="false"/>
          <w:caps w:val="false"/>
          <w:smallCaps w:val="false"/>
          <w:strike w:val="false"/>
          <w:dstrike w:val="false"/>
          <w:color w:val="000000"/>
          <w:sz w:val="24"/>
          <w:szCs w:val="24"/>
          <w:highlight w:val="white"/>
          <w:u w:val="none"/>
          <w:effect w:val="none"/>
        </w:rPr>
        <w:footnoteReference w:id="25"/>
      </w:r>
      <w:r>
        <w:rPr>
          <w:rFonts w:cs="Times New Roman"/>
          <w:b w:val="false"/>
          <w:bCs w:val="false"/>
          <w:i w:val="false"/>
          <w:caps w:val="false"/>
          <w:smallCaps w:val="false"/>
          <w:strike w:val="false"/>
          <w:dstrike w:val="false"/>
          <w:color w:val="000000"/>
          <w:sz w:val="24"/>
          <w:szCs w:val="24"/>
          <w:highlight w:val="white"/>
          <w:u w:val="none"/>
          <w:effect w:val="none"/>
        </w:rPr>
        <w:t xml:space="preserve">.  </w:t>
      </w:r>
    </w:p>
    <w:p>
      <w:pPr>
        <w:pStyle w:val="Default"/>
        <w:spacing w:lineRule="auto" w:line="360"/>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6"/>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ou seja, do modelo.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posOffset>641350</wp:posOffset>
            </wp:positionH>
            <wp:positionV relativeFrom="paragraph">
              <wp:posOffset>57150</wp:posOffset>
            </wp:positionV>
            <wp:extent cx="4133850" cy="647700"/>
            <wp:effectExtent l="0" t="0" r="0" b="0"/>
            <wp:wrapSquare wrapText="largest"/>
            <wp:docPr id="1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pic:cNvPicPr>
                      <a:picLocks noChangeAspect="1" noChangeArrowheads="1"/>
                    </pic:cNvPicPr>
                  </pic:nvPicPr>
                  <pic:blipFill>
                    <a:blip r:embed="rId18"/>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7"/>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19">
            <wp:simplePos x="0" y="0"/>
            <wp:positionH relativeFrom="column">
              <wp:posOffset>366395</wp:posOffset>
            </wp:positionH>
            <wp:positionV relativeFrom="paragraph">
              <wp:posOffset>116205</wp:posOffset>
            </wp:positionV>
            <wp:extent cx="4966970" cy="978535"/>
            <wp:effectExtent l="0" t="0" r="0" b="0"/>
            <wp:wrapSquare wrapText="largest"/>
            <wp:docPr id="1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pic:cNvPicPr>
                      <a:picLocks noChangeAspect="1" noChangeArrowheads="1"/>
                    </pic:cNvPicPr>
                  </pic:nvPicPr>
                  <pic:blipFill>
                    <a:blip r:embed="rId19"/>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9"/>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23685" cy="367982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55665" cy="3308350"/>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30"/>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3665855"/>
            <wp:effectExtent l="0" t="0" r="0" b="0"/>
            <wp:wrapSquare wrapText="largest"/>
            <wp:docPr id="20"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7" descr=""/>
                    <pic:cNvPicPr>
                      <a:picLocks noChangeAspect="1" noChangeArrowheads="1"/>
                    </pic:cNvPicPr>
                  </pic:nvPicPr>
                  <pic:blipFill>
                    <a:blip r:embed="rId22"/>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3028950" cy="695325"/>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3"/>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posOffset>0</wp:posOffset>
            </wp:positionH>
            <wp:positionV relativeFrom="paragraph">
              <wp:posOffset>121920</wp:posOffset>
            </wp:positionV>
            <wp:extent cx="5760085" cy="4630420"/>
            <wp:effectExtent l="0" t="0" r="0" b="0"/>
            <wp:wrapSquare wrapText="largest"/>
            <wp:docPr id="22"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5" descr=""/>
                    <pic:cNvPicPr>
                      <a:picLocks noChangeAspect="1" noChangeArrowheads="1"/>
                    </pic:cNvPicPr>
                  </pic:nvPicPr>
                  <pic:blipFill>
                    <a:blip r:embed="rId24"/>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5"/>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8">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29">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0"/>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p>
      <w:pPr>
        <w:pStyle w:val="Notaderodap"/>
        <w:ind w:left="339" w:right="0" w:hanging="0"/>
        <w:rPr/>
      </w:pPr>
      <w:r>
        <w:rPr/>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pPr>
      <w:r>
        <w:rPr>
          <w:rStyle w:val="Caracteresdenotaderodap"/>
        </w:rPr>
        <w:footnoteRef/>
      </w:r>
      <w:r>
        <w:rPr/>
        <w:tab/>
        <w:t xml:space="preserve">Ver, </w:t>
      </w:r>
      <w:r>
        <w:rPr>
          <w:rStyle w:val="LinkdaInternet"/>
        </w:rPr>
        <w:t>http://www.ipeadata.gov.br/Default.aspx</w:t>
      </w:r>
    </w:p>
    <w:p>
      <w:pPr>
        <w:pStyle w:val="Notaderodap"/>
        <w:rPr/>
      </w:pPr>
      <w:r>
        <w:rPr/>
      </w:r>
    </w:p>
  </w:footnote>
  <w:footnote w:id="24">
    <w:p>
      <w:pPr>
        <w:pStyle w:val="Notaderodap"/>
        <w:jc w:val="both"/>
        <w:rPr/>
      </w:pPr>
      <w:r>
        <w:rPr>
          <w:rStyle w:val="Caracteresdenotaderodap"/>
        </w:rPr>
        <w:footnoteRef/>
      </w:r>
      <w:r>
        <w:rPr/>
        <w:tab/>
        <w:t xml:space="preserve">Voyages: The Trans-Atlantic Slave Trade Database é um banco de dados, gerenciado por pesquisadores da  Emory University com colaborações de inúmeros pesquisadores de outras instituições que reuni um abrangente e excelente material sobre o tráfico transatlântico de escravos. O banco de dados encontra-se em: </w:t>
      </w:r>
      <w:hyperlink r:id="rId1">
        <w:r>
          <w:rPr>
            <w:rStyle w:val="LinkdaInternet"/>
          </w:rPr>
          <w:t>https://www.slavevoyages.org/</w:t>
        </w:r>
      </w:hyperlink>
      <w:r>
        <w:rPr/>
        <w:t xml:space="preserve">. </w:t>
      </w:r>
    </w:p>
  </w:footnote>
  <w:footnote w:id="25">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Maddison Project Database de 2010, 2013 e 2018 encontra-se em: </w:t>
      </w:r>
      <w:r>
        <w:rPr>
          <w:rStyle w:val="LinkdaInternet"/>
        </w:rPr>
        <w:t>www.ggdc.net/maddison</w:t>
      </w:r>
    </w:p>
    <w:p>
      <w:pPr>
        <w:pStyle w:val="Notaderodap"/>
        <w:jc w:val="both"/>
        <w:rPr/>
      </w:pPr>
      <w:r>
        <w:rPr/>
      </w:r>
    </w:p>
  </w:footnote>
  <w:footnote w:id="26">
    <w:p>
      <w:pPr>
        <w:pStyle w:val="Notaderodap"/>
        <w:rPr>
          <w:rFonts w:eastAsia="Times New Roman" w:cs="Times New Roman"/>
          <w:b w:val="false"/>
          <w:b w:val="false"/>
          <w:bCs w:val="false"/>
          <w:i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7">
    <w:p>
      <w:pPr>
        <w:pStyle w:val="Notaderodap"/>
        <w:rPr/>
      </w:pPr>
      <w:r>
        <w:rPr>
          <w:rStyle w:val="Caracteresdenotaderodap"/>
        </w:rPr>
        <w:footnoteRef/>
      </w:r>
      <w:r>
        <w:rPr/>
        <w:tab/>
        <w:t xml:space="preserve">Sobre o modelo log-log, ver Gujarati &amp; Porter (2010, p. 176-179). </w:t>
      </w:r>
    </w:p>
  </w:footnote>
  <w:footnote w:id="28">
    <w:p>
      <w:pPr>
        <w:pStyle w:val="Notaderodap"/>
        <w:rPr/>
      </w:pPr>
      <w:r>
        <w:rPr>
          <w:rStyle w:val="Caracteresdenotaderodap"/>
        </w:rPr>
        <w:footnoteRef/>
      </w:r>
      <w:r>
        <w:rPr/>
        <w:tab/>
        <w:t xml:space="preserve">Para uma ampla revisão bibliográficas referentes aos modelos e exportação, ver Carneiro (2014). </w:t>
      </w:r>
    </w:p>
  </w:footnote>
  <w:footnote w:id="29">
    <w:p>
      <w:pPr>
        <w:pStyle w:val="Notaderodap"/>
        <w:rPr/>
      </w:pPr>
      <w:r>
        <w:rPr>
          <w:rStyle w:val="Caracteresdenotaderodap"/>
        </w:rPr>
        <w:footnoteRef/>
      </w:r>
      <w:r>
        <w:rPr/>
        <w:tab/>
        <w:t xml:space="preserve">Pelo menos para a possibilidade de visualização com duas variáveis em um plano bidimensional. </w:t>
      </w:r>
    </w:p>
  </w:footnote>
  <w:footnote w:id="30">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s://goo.gl/M2YGtV" TargetMode="External"/><Relationship Id="rId29" Type="http://schemas.openxmlformats.org/officeDocument/2006/relationships/hyperlink" Target="https://repositorio.ufjf.br/jspui/handle/ufjf/3276" TargetMode="External"/><Relationship Id="rId30" Type="http://schemas.openxmlformats.org/officeDocument/2006/relationships/header" Target="header3.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slavevoyages.org/" TargetMode="Externa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4355</TotalTime>
  <Application>LibreOffice/7.3.7.2$Linux_X86_64 LibreOffice_project/30$Build-2</Application>
  <AppVersion>15.0000</AppVersion>
  <Pages>46</Pages>
  <Words>7306</Words>
  <Characters>39790</Characters>
  <CharactersWithSpaces>47435</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2023-03-21T10:40:59Z</dcterms:modified>
  <cp:revision>141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